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A2" w:rsidRDefault="004677A2" w:rsidP="004677A2">
      <w:pPr>
        <w:spacing w:after="0" w:line="240" w:lineRule="auto"/>
        <w:ind w:firstLine="720"/>
        <w:rPr>
          <w:b/>
          <w:sz w:val="20"/>
          <w:szCs w:val="20"/>
          <w:u w:val="single"/>
        </w:rPr>
      </w:pP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Kitchen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Cleaning supplies</w:t>
      </w:r>
      <w:r>
        <w:rPr>
          <w:sz w:val="20"/>
          <w:szCs w:val="20"/>
        </w:rPr>
        <w:t xml:space="preserve">: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Dishes (set of 4)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Toilet brush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Glasses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All-purpose spray </w:t>
      </w:r>
    </w:p>
    <w:p w:rsidR="004677A2" w:rsidRDefault="004677A2" w:rsidP="004677A2">
      <w:pPr>
        <w:spacing w:after="0" w:line="240" w:lineRule="auto"/>
        <w:ind w:left="3600" w:hanging="2880"/>
        <w:rPr>
          <w:sz w:val="20"/>
          <w:szCs w:val="20"/>
        </w:rPr>
      </w:pPr>
      <w:r>
        <w:rPr>
          <w:sz w:val="20"/>
          <w:szCs w:val="20"/>
        </w:rPr>
        <w:t xml:space="preserve">Silverware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Sponges (no scratch </w:t>
      </w:r>
    </w:p>
    <w:p w:rsidR="004677A2" w:rsidRDefault="004677A2" w:rsidP="004677A2">
      <w:pPr>
        <w:spacing w:after="0" w:line="240" w:lineRule="auto"/>
        <w:ind w:left="3600" w:hanging="2880"/>
        <w:rPr>
          <w:sz w:val="20"/>
          <w:szCs w:val="20"/>
        </w:rPr>
      </w:pPr>
      <w:r>
        <w:rPr>
          <w:sz w:val="20"/>
          <w:szCs w:val="20"/>
        </w:rPr>
        <w:t>Pots and pans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>scrubbing kind)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Cooking utensils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Bucket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Knives for food preparation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Mop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Can opener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Broom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Cutting 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Trash can and bags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Kitchen towels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Paper towels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Coffee mugs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Dish soap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Food storage containers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Dusting</w:t>
      </w:r>
      <w:proofErr w:type="gramEnd"/>
      <w:r>
        <w:rPr>
          <w:sz w:val="20"/>
          <w:szCs w:val="20"/>
        </w:rPr>
        <w:t xml:space="preserve"> spray </w:t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Toilet bowl cleaner </w:t>
      </w:r>
      <w:r>
        <w:rPr>
          <w:sz w:val="20"/>
          <w:szCs w:val="20"/>
        </w:rPr>
        <w:tab/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Small Appliances/Electronics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Laundry soap and fabric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Toaster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softener sheets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Microwave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77A2" w:rsidRDefault="004677A2" w:rsidP="004677A2">
      <w:pPr>
        <w:spacing w:after="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Coffee Pot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Personal Hygiene</w:t>
      </w:r>
      <w:r>
        <w:rPr>
          <w:sz w:val="20"/>
          <w:szCs w:val="20"/>
        </w:rPr>
        <w:tab/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Vacuum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Tissues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TV/converter box (see Note below)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Toilet paper</w:t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Bar soap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Bedroom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Shampoo and conditioner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Bedding (full/queen)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Toothbrush and toothpaste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Pillows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Disposable razors (men’s)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Alarm clock radio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Hand lotion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Hangers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Deodorant </w:t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Nail clippers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Bathroom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Shave gel or cream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Towels (4)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Comb or brush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Hand towels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77A2" w:rsidRDefault="004677A2" w:rsidP="004677A2">
      <w:pPr>
        <w:spacing w:after="0" w:line="240" w:lineRule="auto"/>
        <w:ind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Wash cloths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u w:val="single"/>
        </w:rPr>
        <w:t>Miscellaneous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Non-slip mat for shower/tub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Light bulbs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Shower curtain and hooks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Calendar </w:t>
      </w:r>
    </w:p>
    <w:p w:rsidR="004677A2" w:rsidRDefault="004677A2" w:rsidP="004677A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Bath mat/rug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Fan</w:t>
      </w:r>
      <w:r>
        <w:rPr>
          <w:sz w:val="20"/>
          <w:szCs w:val="20"/>
        </w:rPr>
        <w:tab/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Laundry basket or bag</w:t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Envelopes and stamps</w:t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Housing </w:t>
      </w:r>
      <w:proofErr w:type="gramStart"/>
      <w:r>
        <w:rPr>
          <w:sz w:val="20"/>
          <w:szCs w:val="20"/>
        </w:rPr>
        <w:t>Forward’s</w:t>
      </w:r>
      <w:proofErr w:type="gramEnd"/>
      <w:r>
        <w:rPr>
          <w:sz w:val="20"/>
          <w:szCs w:val="20"/>
        </w:rPr>
        <w:t xml:space="preserve"> donation policy requests that all soft items (pillows, bedding, towels, etc.) be purchased new. </w:t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</w:p>
    <w:p w:rsidR="004677A2" w:rsidRDefault="004677A2" w:rsidP="004677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Note: TVs are important “House-to-Home” items because they help our </w:t>
      </w:r>
      <w:proofErr w:type="gramStart"/>
      <w:r>
        <w:rPr>
          <w:sz w:val="20"/>
          <w:szCs w:val="20"/>
        </w:rPr>
        <w:t>clients</w:t>
      </w:r>
      <w:proofErr w:type="gramEnd"/>
      <w:r>
        <w:rPr>
          <w:sz w:val="20"/>
          <w:szCs w:val="20"/>
        </w:rPr>
        <w:t xml:space="preserve"> transition back to living alone in an apartment – often after congregant living in the PADS Shelter. Watching television is one way they can re-establish their connections to the community and world around them. </w:t>
      </w:r>
    </w:p>
    <w:p w:rsidR="004677A2" w:rsidRDefault="004677A2" w:rsidP="004677A2">
      <w:pPr>
        <w:spacing w:after="0" w:line="240" w:lineRule="auto"/>
        <w:rPr>
          <w:sz w:val="20"/>
          <w:szCs w:val="20"/>
        </w:rPr>
      </w:pPr>
    </w:p>
    <w:p w:rsidR="004677A2" w:rsidRDefault="004677A2" w:rsidP="004677A2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Contact</w:t>
      </w:r>
    </w:p>
    <w:p w:rsidR="004677A2" w:rsidRDefault="004677A2" w:rsidP="004677A2">
      <w:pPr>
        <w:spacing w:after="0" w:line="240" w:lineRule="auto"/>
        <w:rPr>
          <w:rFonts w:eastAsia="Calibri"/>
          <w:sz w:val="20"/>
          <w:szCs w:val="20"/>
        </w:rPr>
      </w:pPr>
      <w:hyperlink r:id="rId7" w:history="1">
        <w:r w:rsidRPr="0006727B">
          <w:rPr>
            <w:rStyle w:val="Hyperlink"/>
            <w:sz w:val="20"/>
            <w:szCs w:val="20"/>
          </w:rPr>
          <w:t>tdaniel@housingforward.org</w:t>
        </w:r>
      </w:hyperlink>
      <w:r>
        <w:rPr>
          <w:sz w:val="20"/>
          <w:szCs w:val="20"/>
        </w:rPr>
        <w:t xml:space="preserve"> or 708.338.</w:t>
      </w:r>
      <w:r w:rsidRPr="004677A2">
        <w:rPr>
          <w:sz w:val="20"/>
          <w:szCs w:val="20"/>
        </w:rPr>
        <w:t xml:space="preserve">1724 </w:t>
      </w:r>
      <w:r w:rsidRPr="004677A2">
        <w:rPr>
          <w:sz w:val="20"/>
          <w:szCs w:val="20"/>
        </w:rPr>
        <w:t>x 220</w:t>
      </w:r>
    </w:p>
    <w:p w:rsidR="004677A2" w:rsidRDefault="004677A2" w:rsidP="004677A2">
      <w:pPr>
        <w:spacing w:after="0" w:line="240" w:lineRule="auto"/>
        <w:rPr>
          <w:rFonts w:eastAsia="Times New Roman"/>
          <w:sz w:val="20"/>
          <w:szCs w:val="20"/>
        </w:rPr>
      </w:pPr>
    </w:p>
    <w:p w:rsidR="004677A2" w:rsidRDefault="004677A2" w:rsidP="004677A2">
      <w:pPr>
        <w:spacing w:after="0" w:line="240" w:lineRule="auto"/>
        <w:rPr>
          <w:sz w:val="20"/>
          <w:szCs w:val="20"/>
        </w:rPr>
      </w:pPr>
    </w:p>
    <w:p w:rsidR="004677A2" w:rsidRDefault="004677A2" w:rsidP="004677A2">
      <w:pPr>
        <w:spacing w:after="0" w:line="240" w:lineRule="auto"/>
        <w:rPr>
          <w:color w:val="143739"/>
          <w:szCs w:val="22"/>
        </w:rPr>
      </w:pPr>
      <w:r>
        <w:rPr>
          <w:i/>
          <w:sz w:val="20"/>
          <w:szCs w:val="20"/>
        </w:rPr>
        <w:t xml:space="preserve">Housing </w:t>
      </w:r>
      <w:proofErr w:type="gramStart"/>
      <w:r>
        <w:rPr>
          <w:i/>
          <w:sz w:val="20"/>
          <w:szCs w:val="20"/>
        </w:rPr>
        <w:t>Forward</w:t>
      </w:r>
      <w:proofErr w:type="gramEnd"/>
      <w:r>
        <w:rPr>
          <w:i/>
          <w:sz w:val="20"/>
          <w:szCs w:val="20"/>
        </w:rPr>
        <w:t xml:space="preserve"> has been transitioning people from housing crisis to housing stability for 2</w:t>
      </w:r>
      <w:r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years. For more information about our work to open doors, build futures, and end homelessness in west Cook County visit us online at </w:t>
      </w:r>
      <w:hyperlink r:id="rId8" w:history="1">
        <w:r>
          <w:rPr>
            <w:rStyle w:val="Hyperlink"/>
            <w:i/>
            <w:sz w:val="20"/>
            <w:szCs w:val="20"/>
          </w:rPr>
          <w:t>www.housingforward.org</w:t>
        </w:r>
      </w:hyperlink>
      <w:r>
        <w:rPr>
          <w:i/>
          <w:sz w:val="20"/>
          <w:szCs w:val="20"/>
        </w:rPr>
        <w:t xml:space="preserve"> </w:t>
      </w:r>
      <w:bookmarkStart w:id="0" w:name="_GoBack"/>
      <w:bookmarkEnd w:id="0"/>
      <w:r>
        <w:rPr>
          <w:i/>
          <w:sz w:val="20"/>
          <w:szCs w:val="20"/>
        </w:rPr>
        <w:t>Facebook.com/HousingForward or Twitter @</w:t>
      </w:r>
      <w:proofErr w:type="spellStart"/>
      <w:r>
        <w:rPr>
          <w:i/>
          <w:sz w:val="20"/>
          <w:szCs w:val="20"/>
        </w:rPr>
        <w:t>HousingForward</w:t>
      </w:r>
      <w:proofErr w:type="spellEnd"/>
      <w:r>
        <w:rPr>
          <w:i/>
          <w:sz w:val="20"/>
          <w:szCs w:val="20"/>
        </w:rPr>
        <w:t>.</w:t>
      </w:r>
    </w:p>
    <w:p w:rsidR="00C43EBF" w:rsidRPr="00455476" w:rsidRDefault="004677A2" w:rsidP="004677A2">
      <w:pPr>
        <w:spacing w:after="0" w:line="240" w:lineRule="auto"/>
        <w:rPr>
          <w:rFonts w:eastAsia="Times New Roman" w:cs="Arial"/>
          <w:noProof/>
          <w:szCs w:val="22"/>
          <w:lang w:eastAsia="en-US"/>
        </w:rPr>
      </w:pPr>
    </w:p>
    <w:sectPr w:rsidR="00C43EBF" w:rsidRPr="004554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A2" w:rsidRDefault="004677A2" w:rsidP="00455476">
      <w:pPr>
        <w:spacing w:after="0" w:line="240" w:lineRule="auto"/>
      </w:pPr>
      <w:r>
        <w:separator/>
      </w:r>
    </w:p>
  </w:endnote>
  <w:endnote w:type="continuationSeparator" w:id="0">
    <w:p w:rsidR="004677A2" w:rsidRDefault="004677A2" w:rsidP="0045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76" w:rsidRDefault="00455476">
    <w:pPr>
      <w:pStyle w:val="Footer"/>
    </w:pPr>
  </w:p>
  <w:p w:rsidR="00455476" w:rsidRDefault="00455476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C734CCC" wp14:editId="7E56071F">
          <wp:simplePos x="0" y="0"/>
          <wp:positionH relativeFrom="margin">
            <wp:posOffset>-819150</wp:posOffset>
          </wp:positionH>
          <wp:positionV relativeFrom="margin">
            <wp:posOffset>8530590</wp:posOffset>
          </wp:positionV>
          <wp:extent cx="7639050" cy="42037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A2" w:rsidRDefault="004677A2" w:rsidP="00455476">
      <w:pPr>
        <w:spacing w:after="0" w:line="240" w:lineRule="auto"/>
      </w:pPr>
      <w:r>
        <w:separator/>
      </w:r>
    </w:p>
  </w:footnote>
  <w:footnote w:type="continuationSeparator" w:id="0">
    <w:p w:rsidR="004677A2" w:rsidRDefault="004677A2" w:rsidP="00455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76" w:rsidRDefault="004677A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9CED21" wp14:editId="5C42074C">
              <wp:simplePos x="0" y="0"/>
              <wp:positionH relativeFrom="column">
                <wp:posOffset>-123825</wp:posOffset>
              </wp:positionH>
              <wp:positionV relativeFrom="paragraph">
                <wp:posOffset>-352425</wp:posOffset>
              </wp:positionV>
              <wp:extent cx="2374265" cy="108585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7A2" w:rsidRPr="004677A2" w:rsidRDefault="004677A2" w:rsidP="004677A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4677A2">
                            <w:rPr>
                              <w:sz w:val="28"/>
                              <w:szCs w:val="28"/>
                            </w:rPr>
                            <w:t>Open Door Housing Program</w:t>
                          </w:r>
                        </w:p>
                        <w:p w:rsidR="004677A2" w:rsidRDefault="004677A2" w:rsidP="004677A2">
                          <w:pPr>
                            <w:jc w:val="center"/>
                          </w:pPr>
                          <w:r w:rsidRPr="004677A2">
                            <w:rPr>
                              <w:sz w:val="28"/>
                              <w:szCs w:val="28"/>
                            </w:rPr>
                            <w:t>“House-to-Home” Kits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75pt;margin-top:-27.75pt;width:186.95pt;height:85.5pt;z-index:-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" stroked="f">
              <v:textbox>
                <w:txbxContent>
                  <w:p w:rsidR="004677A2" w:rsidRPr="004677A2" w:rsidRDefault="004677A2" w:rsidP="004677A2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4677A2">
                      <w:rPr>
                        <w:sz w:val="28"/>
                        <w:szCs w:val="28"/>
                      </w:rPr>
                      <w:t>Open Door Housing Program</w:t>
                    </w:r>
                  </w:p>
                  <w:p w:rsidR="004677A2" w:rsidRDefault="004677A2" w:rsidP="004677A2">
                    <w:pPr>
                      <w:jc w:val="center"/>
                    </w:pPr>
                    <w:r w:rsidRPr="004677A2">
                      <w:rPr>
                        <w:sz w:val="28"/>
                        <w:szCs w:val="28"/>
                      </w:rPr>
                      <w:t>“House-to-Home” Kits</w:t>
                    </w:r>
                  </w:p>
                </w:txbxContent>
              </v:textbox>
            </v:shape>
          </w:pict>
        </mc:Fallback>
      </mc:AlternateContent>
    </w:r>
    <w:r w:rsidR="00455476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723732DB" wp14:editId="4AA702CE">
          <wp:simplePos x="0" y="0"/>
          <wp:positionH relativeFrom="column">
            <wp:posOffset>-476250</wp:posOffset>
          </wp:positionH>
          <wp:positionV relativeFrom="paragraph">
            <wp:posOffset>-171450</wp:posOffset>
          </wp:positionV>
          <wp:extent cx="7159625" cy="82867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962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476" w:rsidRDefault="00455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A2"/>
    <w:rsid w:val="00093A47"/>
    <w:rsid w:val="001565F0"/>
    <w:rsid w:val="001672BC"/>
    <w:rsid w:val="001D621B"/>
    <w:rsid w:val="002143DA"/>
    <w:rsid w:val="002146A5"/>
    <w:rsid w:val="00233038"/>
    <w:rsid w:val="002A4F1E"/>
    <w:rsid w:val="002B7694"/>
    <w:rsid w:val="0038761C"/>
    <w:rsid w:val="0039402C"/>
    <w:rsid w:val="00394A2D"/>
    <w:rsid w:val="00455476"/>
    <w:rsid w:val="004677A2"/>
    <w:rsid w:val="004D36A3"/>
    <w:rsid w:val="005B6872"/>
    <w:rsid w:val="005C4FC8"/>
    <w:rsid w:val="00617A96"/>
    <w:rsid w:val="00646B7E"/>
    <w:rsid w:val="007B2482"/>
    <w:rsid w:val="007B4A5E"/>
    <w:rsid w:val="007D03CE"/>
    <w:rsid w:val="008802F0"/>
    <w:rsid w:val="0088615A"/>
    <w:rsid w:val="009350BB"/>
    <w:rsid w:val="00936F79"/>
    <w:rsid w:val="009D75A0"/>
    <w:rsid w:val="009F103C"/>
    <w:rsid w:val="009F4EE1"/>
    <w:rsid w:val="00A80568"/>
    <w:rsid w:val="00AD5251"/>
    <w:rsid w:val="00B17E17"/>
    <w:rsid w:val="00B4570A"/>
    <w:rsid w:val="00BC7A06"/>
    <w:rsid w:val="00C32B35"/>
    <w:rsid w:val="00C555EF"/>
    <w:rsid w:val="00CA362B"/>
    <w:rsid w:val="00CC2F37"/>
    <w:rsid w:val="00D423AC"/>
    <w:rsid w:val="00D5197B"/>
    <w:rsid w:val="00DE7ED2"/>
    <w:rsid w:val="00E7463F"/>
    <w:rsid w:val="00EB6EC0"/>
    <w:rsid w:val="00EE6AD6"/>
    <w:rsid w:val="00F23CEE"/>
    <w:rsid w:val="00F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7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5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7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76"/>
    <w:rPr>
      <w:rFonts w:ascii="Tahoma" w:eastAsiaTheme="minorEastAsia" w:hAnsi="Tahoma" w:cs="Tahoma"/>
      <w:sz w:val="16"/>
      <w:szCs w:val="16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F23C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character" w:styleId="Hyperlink">
    <w:name w:val="Hyperlink"/>
    <w:uiPriority w:val="99"/>
    <w:unhideWhenUsed/>
    <w:rsid w:val="00467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76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55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47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76"/>
    <w:rPr>
      <w:rFonts w:ascii="Tahoma" w:eastAsiaTheme="minorEastAsia" w:hAnsi="Tahoma" w:cs="Tahoma"/>
      <w:sz w:val="16"/>
      <w:szCs w:val="16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F23CE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</w:rPr>
  </w:style>
  <w:style w:type="character" w:styleId="Hyperlink">
    <w:name w:val="Hyperlink"/>
    <w:uiPriority w:val="99"/>
    <w:unhideWhenUsed/>
    <w:rsid w:val="00467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ingfor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aniel@housingforward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w\AppData\Roaming\Microsoft\Templates\Housing%20Forward%20Lett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Housing Forward Letter 2</Template>
  <TotalTime>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Gow</dc:creator>
  <cp:lastModifiedBy>Janet Gow</cp:lastModifiedBy>
  <cp:revision>1</cp:revision>
  <dcterms:created xsi:type="dcterms:W3CDTF">2016-05-13T14:14:00Z</dcterms:created>
  <dcterms:modified xsi:type="dcterms:W3CDTF">2016-05-13T14:19:00Z</dcterms:modified>
</cp:coreProperties>
</file>